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Borders>
          <w:top w:val="single" w:sz="6" w:space="0" w:color="FFE4B5"/>
          <w:left w:val="single" w:sz="6" w:space="0" w:color="FFE4B5"/>
          <w:bottom w:val="single" w:sz="6" w:space="0" w:color="FFE4B5"/>
          <w:right w:val="single" w:sz="6" w:space="0" w:color="FFE4B5"/>
        </w:tblBorders>
        <w:shd w:val="clear" w:color="auto" w:fill="EAF2F7"/>
        <w:tblCellMar>
          <w:left w:w="0" w:type="dxa"/>
          <w:right w:w="0" w:type="dxa"/>
        </w:tblCellMar>
        <w:tblLook w:val="04A0" w:firstRow="1" w:lastRow="0" w:firstColumn="1" w:lastColumn="0" w:noHBand="0" w:noVBand="1"/>
      </w:tblPr>
      <w:tblGrid>
        <w:gridCol w:w="9390"/>
      </w:tblGrid>
      <w:tr w:rsidR="00D001FF" w:rsidRPr="00A32C99" w14:paraId="646A9FA8" w14:textId="77777777" w:rsidTr="00545496">
        <w:trPr>
          <w:trHeight w:val="405"/>
          <w:tblCellSpacing w:w="0" w:type="dxa"/>
        </w:trPr>
        <w:tc>
          <w:tcPr>
            <w:tcW w:w="17445" w:type="dxa"/>
            <w:shd w:val="clear" w:color="auto" w:fill="EAF2F7"/>
            <w:vAlign w:val="center"/>
            <w:hideMark/>
          </w:tcPr>
          <w:p w14:paraId="3A6233D1" w14:textId="77777777" w:rsidR="00D001FF" w:rsidRPr="003332F7" w:rsidRDefault="00D001FF" w:rsidP="00545496">
            <w:pPr>
              <w:rPr>
                <w:rFonts w:cs="Calibri"/>
                <w:b/>
                <w:bCs/>
                <w:color w:val="000000"/>
                <w:sz w:val="18"/>
                <w:szCs w:val="18"/>
              </w:rPr>
            </w:pPr>
            <w:r w:rsidRPr="003332F7">
              <w:rPr>
                <w:rFonts w:cs="Calibri"/>
                <w:b/>
                <w:bCs/>
                <w:color w:val="000000"/>
                <w:sz w:val="18"/>
                <w:szCs w:val="18"/>
              </w:rPr>
              <w:t>Tip anunt: </w:t>
            </w:r>
            <w:r w:rsidRPr="003332F7">
              <w:rPr>
                <w:rFonts w:cs="Calibri"/>
                <w:b/>
                <w:bCs/>
                <w:color w:val="8B0000"/>
                <w:sz w:val="18"/>
                <w:szCs w:val="18"/>
              </w:rPr>
              <w:t>Anexa 2B</w:t>
            </w:r>
          </w:p>
        </w:tc>
      </w:tr>
      <w:tr w:rsidR="00D001FF" w:rsidRPr="002E2515" w14:paraId="4FAE22A5" w14:textId="77777777" w:rsidTr="00545496">
        <w:trPr>
          <w:trHeight w:val="405"/>
          <w:tblCellSpacing w:w="0" w:type="dxa"/>
        </w:trPr>
        <w:tc>
          <w:tcPr>
            <w:tcW w:w="17445" w:type="dxa"/>
            <w:shd w:val="clear" w:color="auto" w:fill="EAF2F7"/>
            <w:vAlign w:val="center"/>
            <w:hideMark/>
          </w:tcPr>
          <w:p w14:paraId="697BDBDA" w14:textId="77777777" w:rsidR="00D001FF" w:rsidRPr="00D001FF" w:rsidRDefault="00D001FF" w:rsidP="00545496">
            <w:pPr>
              <w:rPr>
                <w:rFonts w:cs="Calibri"/>
                <w:bCs/>
                <w:color w:val="000000"/>
                <w:sz w:val="18"/>
                <w:szCs w:val="18"/>
              </w:rPr>
            </w:pPr>
            <w:r w:rsidRPr="00D001FF">
              <w:rPr>
                <w:rFonts w:cs="Calibri"/>
                <w:bCs/>
                <w:color w:val="000000"/>
                <w:sz w:val="18"/>
                <w:szCs w:val="18"/>
              </w:rPr>
              <w:t>Tip contract: </w:t>
            </w:r>
            <w:r w:rsidRPr="00D001FF">
              <w:rPr>
                <w:rFonts w:cs="Calibri"/>
                <w:color w:val="000000"/>
                <w:sz w:val="18"/>
                <w:szCs w:val="18"/>
              </w:rPr>
              <w:t>Servicii</w:t>
            </w:r>
          </w:p>
        </w:tc>
      </w:tr>
      <w:tr w:rsidR="00D001FF" w:rsidRPr="002E2515" w14:paraId="09A695A0" w14:textId="77777777" w:rsidTr="00545496">
        <w:trPr>
          <w:trHeight w:val="405"/>
          <w:tblCellSpacing w:w="0" w:type="dxa"/>
        </w:trPr>
        <w:tc>
          <w:tcPr>
            <w:tcW w:w="17445" w:type="dxa"/>
            <w:shd w:val="clear" w:color="auto" w:fill="EAF2F7"/>
            <w:vAlign w:val="center"/>
            <w:hideMark/>
          </w:tcPr>
          <w:p w14:paraId="6673F5B9" w14:textId="77777777" w:rsidR="00D001FF" w:rsidRPr="00D001FF" w:rsidRDefault="00D001FF" w:rsidP="00D001FF">
            <w:pPr>
              <w:rPr>
                <w:rFonts w:cs="Calibri"/>
                <w:bCs/>
                <w:color w:val="000000"/>
                <w:sz w:val="18"/>
                <w:szCs w:val="18"/>
              </w:rPr>
            </w:pPr>
            <w:r w:rsidRPr="00D001FF">
              <w:rPr>
                <w:rFonts w:cs="Calibri"/>
                <w:bCs/>
                <w:color w:val="000000"/>
                <w:sz w:val="18"/>
                <w:szCs w:val="18"/>
              </w:rPr>
              <w:t>Denumirea achizitie: </w:t>
            </w:r>
            <w:r w:rsidRPr="00D001FF">
              <w:rPr>
                <w:sz w:val="18"/>
                <w:szCs w:val="18"/>
              </w:rPr>
              <w:t xml:space="preserve">Contractarea a doua facilitati de credit </w:t>
            </w:r>
            <w:r w:rsidRPr="00D001FF">
              <w:rPr>
                <w:bCs/>
                <w:sz w:val="18"/>
                <w:szCs w:val="18"/>
              </w:rPr>
              <w:t>în valoare totala de 10.</w:t>
            </w:r>
            <w:r w:rsidRPr="00D001FF">
              <w:rPr>
                <w:sz w:val="18"/>
                <w:szCs w:val="18"/>
              </w:rPr>
              <w:t xml:space="preserve">700.000 lei pentru asigurarea </w:t>
            </w:r>
            <w:r w:rsidRPr="00D001FF">
              <w:rPr>
                <w:bCs/>
                <w:sz w:val="18"/>
                <w:szCs w:val="18"/>
              </w:rPr>
              <w:t>fondurilor necesare implementarii unor obiective de interes public local</w:t>
            </w:r>
            <w:r w:rsidRPr="00D001FF">
              <w:rPr>
                <w:rFonts w:cs="Calibri"/>
                <w:bCs/>
                <w:sz w:val="18"/>
                <w:szCs w:val="18"/>
              </w:rPr>
              <w:t xml:space="preserve"> </w:t>
            </w:r>
          </w:p>
        </w:tc>
      </w:tr>
      <w:tr w:rsidR="00D001FF" w:rsidRPr="002E2515" w14:paraId="21A65600" w14:textId="77777777" w:rsidTr="00545496">
        <w:trPr>
          <w:trHeight w:val="405"/>
          <w:tblCellSpacing w:w="0" w:type="dxa"/>
        </w:trPr>
        <w:tc>
          <w:tcPr>
            <w:tcW w:w="17445" w:type="dxa"/>
            <w:shd w:val="clear" w:color="auto" w:fill="EAF2F7"/>
            <w:vAlign w:val="center"/>
            <w:hideMark/>
          </w:tcPr>
          <w:p w14:paraId="56C6BF50" w14:textId="77777777" w:rsidR="00D001FF" w:rsidRPr="00D001FF" w:rsidRDefault="00D001FF" w:rsidP="00545496">
            <w:pPr>
              <w:rPr>
                <w:rFonts w:cs="Calibri"/>
                <w:bCs/>
                <w:color w:val="000000"/>
                <w:sz w:val="18"/>
                <w:szCs w:val="18"/>
              </w:rPr>
            </w:pPr>
            <w:r w:rsidRPr="00D001FF">
              <w:rPr>
                <w:rFonts w:cs="Calibri"/>
                <w:bCs/>
                <w:color w:val="000000"/>
                <w:sz w:val="18"/>
                <w:szCs w:val="18"/>
              </w:rPr>
              <w:t>CPV: </w:t>
            </w:r>
            <w:r w:rsidRPr="00D001FF">
              <w:rPr>
                <w:rFonts w:cs="Calibri"/>
                <w:color w:val="000000"/>
                <w:sz w:val="18"/>
                <w:szCs w:val="18"/>
              </w:rPr>
              <w:t>66113000-5-Servicii de acordare de credit (Rev.2)</w:t>
            </w:r>
          </w:p>
        </w:tc>
      </w:tr>
      <w:tr w:rsidR="00D001FF" w:rsidRPr="002E2515" w14:paraId="3995AB3F" w14:textId="77777777" w:rsidTr="00545496">
        <w:trPr>
          <w:trHeight w:val="405"/>
          <w:tblCellSpacing w:w="0" w:type="dxa"/>
        </w:trPr>
        <w:tc>
          <w:tcPr>
            <w:tcW w:w="17445" w:type="dxa"/>
            <w:shd w:val="clear" w:color="auto" w:fill="EAF2F7"/>
            <w:vAlign w:val="center"/>
            <w:hideMark/>
          </w:tcPr>
          <w:p w14:paraId="053E1419" w14:textId="77777777" w:rsidR="00D001FF" w:rsidRPr="00D001FF" w:rsidRDefault="00D001FF" w:rsidP="00D001FF">
            <w:pPr>
              <w:jc w:val="both"/>
              <w:rPr>
                <w:rFonts w:cs="Calibri"/>
                <w:bCs/>
                <w:color w:val="000000"/>
                <w:sz w:val="18"/>
                <w:szCs w:val="18"/>
              </w:rPr>
            </w:pPr>
            <w:r w:rsidRPr="00D001FF">
              <w:rPr>
                <w:rFonts w:cs="Calibri"/>
                <w:bCs/>
                <w:color w:val="000000"/>
                <w:sz w:val="18"/>
                <w:szCs w:val="18"/>
              </w:rPr>
              <w:t>Descrierea contractului: </w:t>
            </w:r>
            <w:r w:rsidRPr="00D001FF">
              <w:rPr>
                <w:bCs/>
                <w:color w:val="000000"/>
                <w:sz w:val="18"/>
                <w:szCs w:val="18"/>
              </w:rPr>
              <w:t>Servicii de acordare credit -</w:t>
            </w:r>
            <w:r w:rsidRPr="00D001FF">
              <w:rPr>
                <w:sz w:val="18"/>
                <w:szCs w:val="18"/>
              </w:rPr>
              <w:t xml:space="preserve"> Contractarea a doua facilitati de credit </w:t>
            </w:r>
            <w:r w:rsidRPr="00D001FF">
              <w:rPr>
                <w:bCs/>
                <w:sz w:val="18"/>
                <w:szCs w:val="18"/>
              </w:rPr>
              <w:t>în valoare totala de 10.</w:t>
            </w:r>
            <w:r w:rsidRPr="00D001FF">
              <w:rPr>
                <w:sz w:val="18"/>
                <w:szCs w:val="18"/>
              </w:rPr>
              <w:t xml:space="preserve">700.000 lei pentru asigurarea </w:t>
            </w:r>
            <w:r w:rsidRPr="00D001FF">
              <w:rPr>
                <w:bCs/>
                <w:sz w:val="18"/>
                <w:szCs w:val="18"/>
              </w:rPr>
              <w:t xml:space="preserve">fondurilor necesare implementarii unor obiective de interes public local, dupa cum urmeaza: (lot 1) </w:t>
            </w:r>
            <w:r w:rsidRPr="00D001FF">
              <w:rPr>
                <w:sz w:val="18"/>
                <w:szCs w:val="18"/>
              </w:rPr>
              <w:t>1.700.000</w:t>
            </w:r>
            <w:r w:rsidRPr="00D001FF">
              <w:rPr>
                <w:bCs/>
                <w:sz w:val="18"/>
                <w:szCs w:val="18"/>
              </w:rPr>
              <w:t xml:space="preserve"> ron i</w:t>
            </w:r>
            <w:r w:rsidRPr="00D001FF">
              <w:rPr>
                <w:sz w:val="18"/>
                <w:szCs w:val="18"/>
              </w:rPr>
              <w:t>n vederea asigurarii resurselor financiare necesare realizarii obiectivului de interes public local ““modernizare strazi aproximativ 9 km, orasul Ludus, judet Mures” - etapa I, obiectiv ai carui indicatori tehnico-economici au fost aprobati conform HCL nr 89/26.05.2020 si (lot 2) 9.000.000</w:t>
            </w:r>
            <w:r w:rsidRPr="00D001FF">
              <w:rPr>
                <w:bCs/>
                <w:sz w:val="18"/>
                <w:szCs w:val="18"/>
              </w:rPr>
              <w:t xml:space="preserve"> ron i</w:t>
            </w:r>
            <w:r w:rsidRPr="00D001FF">
              <w:rPr>
                <w:sz w:val="18"/>
                <w:szCs w:val="18"/>
              </w:rPr>
              <w:t xml:space="preserve">n vederea asigurarii resurselor financiare necesare asigurarii </w:t>
            </w:r>
            <w:r w:rsidRPr="00D001FF">
              <w:rPr>
                <w:bCs/>
                <w:sz w:val="18"/>
                <w:szCs w:val="18"/>
              </w:rPr>
              <w:t>fondurilor necesare prefinantarii si contributiei proprii (cheltuieli eligibile si ne-eligibili) cu ocazia implementarii obiectivelor de investitii de interes public local co-finantate din fonduri europene, asa cum sunt detaliate in continuare</w:t>
            </w:r>
            <w:r w:rsidRPr="00D001FF">
              <w:rPr>
                <w:sz w:val="18"/>
                <w:szCs w:val="18"/>
              </w:rPr>
              <w:t>.</w:t>
            </w:r>
          </w:p>
        </w:tc>
      </w:tr>
      <w:tr w:rsidR="00D001FF" w:rsidRPr="00A32C99" w14:paraId="085100AA" w14:textId="77777777" w:rsidTr="00545496">
        <w:trPr>
          <w:trHeight w:val="405"/>
          <w:tblCellSpacing w:w="0" w:type="dxa"/>
        </w:trPr>
        <w:tc>
          <w:tcPr>
            <w:tcW w:w="17445" w:type="dxa"/>
            <w:shd w:val="clear" w:color="auto" w:fill="EAF2F7"/>
            <w:vAlign w:val="center"/>
            <w:hideMark/>
          </w:tcPr>
          <w:p w14:paraId="3DD75126" w14:textId="77777777" w:rsidR="00D001FF" w:rsidRPr="00D001FF" w:rsidRDefault="00D001FF" w:rsidP="004F744B">
            <w:pPr>
              <w:rPr>
                <w:rFonts w:cs="Calibri"/>
                <w:bCs/>
                <w:color w:val="000000"/>
                <w:sz w:val="18"/>
                <w:szCs w:val="18"/>
              </w:rPr>
            </w:pPr>
            <w:r w:rsidRPr="00D001FF">
              <w:rPr>
                <w:rFonts w:cs="Calibri"/>
                <w:bCs/>
                <w:color w:val="000000"/>
                <w:sz w:val="18"/>
                <w:szCs w:val="18"/>
              </w:rPr>
              <w:t>Valoarea estimata fara TVA:</w:t>
            </w:r>
            <w:r w:rsidRPr="00D001FF">
              <w:rPr>
                <w:rFonts w:cs="Calibri"/>
                <w:sz w:val="18"/>
                <w:szCs w:val="18"/>
              </w:rPr>
              <w:t xml:space="preserve"> LOT 1 - 51</w:t>
            </w:r>
            <w:r w:rsidR="004F744B">
              <w:rPr>
                <w:rFonts w:cs="Calibri"/>
                <w:sz w:val="18"/>
                <w:szCs w:val="18"/>
              </w:rPr>
              <w:t>1.000 ron; LOT 2 – 2.801</w:t>
            </w:r>
            <w:r w:rsidRPr="00D001FF">
              <w:rPr>
                <w:rFonts w:cs="Calibri"/>
                <w:sz w:val="18"/>
                <w:szCs w:val="18"/>
              </w:rPr>
              <w:t xml:space="preserve">.000 ron (in conditiile unei finantari pe o perioada de 12 ani)            </w:t>
            </w:r>
          </w:p>
        </w:tc>
      </w:tr>
      <w:tr w:rsidR="00D001FF" w:rsidRPr="002E2515" w14:paraId="4EE78485" w14:textId="77777777" w:rsidTr="00545496">
        <w:trPr>
          <w:trHeight w:val="405"/>
          <w:tblCellSpacing w:w="0" w:type="dxa"/>
        </w:trPr>
        <w:tc>
          <w:tcPr>
            <w:tcW w:w="17445" w:type="dxa"/>
            <w:shd w:val="clear" w:color="auto" w:fill="EAF2F7"/>
            <w:vAlign w:val="center"/>
            <w:hideMark/>
          </w:tcPr>
          <w:p w14:paraId="269335C7" w14:textId="77777777" w:rsidR="00D001FF" w:rsidRPr="00D001FF" w:rsidRDefault="00D001FF" w:rsidP="00545496">
            <w:pPr>
              <w:ind w:left="-142" w:right="6"/>
              <w:jc w:val="both"/>
              <w:rPr>
                <w:sz w:val="18"/>
                <w:szCs w:val="18"/>
              </w:rPr>
            </w:pPr>
            <w:r w:rsidRPr="00D001FF">
              <w:rPr>
                <w:rFonts w:cs="Calibri"/>
                <w:bCs/>
                <w:color w:val="000000"/>
                <w:sz w:val="18"/>
                <w:szCs w:val="18"/>
              </w:rPr>
              <w:t>C</w:t>
            </w:r>
            <w:r w:rsidR="004F744B">
              <w:rPr>
                <w:rFonts w:cs="Calibri"/>
                <w:bCs/>
                <w:color w:val="000000"/>
                <w:sz w:val="18"/>
                <w:szCs w:val="18"/>
              </w:rPr>
              <w:t>C</w:t>
            </w:r>
            <w:r w:rsidRPr="00D001FF">
              <w:rPr>
                <w:rFonts w:cs="Calibri"/>
                <w:bCs/>
                <w:color w:val="000000"/>
                <w:sz w:val="18"/>
                <w:szCs w:val="18"/>
              </w:rPr>
              <w:t>onditii contract: </w:t>
            </w:r>
            <w:r w:rsidRPr="00D001FF">
              <w:rPr>
                <w:rFonts w:cs="Calibri"/>
                <w:color w:val="000000"/>
                <w:sz w:val="18"/>
                <w:szCs w:val="18"/>
              </w:rPr>
              <w:t>Comisioanele si taxele aferente creditului vor fi detaliate de ofertanti intr-un formular ce va constitui Anexa la Formularul nr. 3 (formularul de oferta financiara). Valoarea procentuala sau, dupa caz, cunatumul taxelor si comisioanelor inscrise de ofertantul castigator in Anexa la Formularul nr. 3 (Formularul de oferta financiara) vor fi considerate maxime si nu vor putea fi modificate pe intreaga perioada de derulare a contractului. Detaliile ce vor fi inscrise de ofertantul castigator in Anexa la Formularul nr. 3 (Formularul de oferta) impreuna cu celelalte documente, vor constitui clauze ale contractului. Nu se accepta taxa de risc sau comision de rambursare anticipata. Autoritatea contractanta nu accepta decat ajustarea pretului contractului ca urmare a modificarii dobanzii in functie de indicele ROBOR 3M. Nu se accepta ajustarea ulterioara a marjei fixe a institutiei financiare si nici a procentelor/valorilor comisioanelor ofertate.</w:t>
            </w:r>
            <w:r w:rsidRPr="00D001FF">
              <w:rPr>
                <w:i/>
                <w:sz w:val="18"/>
                <w:szCs w:val="18"/>
              </w:rPr>
              <w:t xml:space="preserve"> In cazul in care o banca prezinta oferta pentru toate loturile, atunci va prezenta pentru fiecare lot in parte anexa nr 1, respectiv anexa nr 2 la formularul 3</w:t>
            </w:r>
          </w:p>
          <w:p w14:paraId="7882D9B9" w14:textId="77777777" w:rsidR="00D001FF" w:rsidRPr="00D001FF" w:rsidRDefault="00D001FF" w:rsidP="00545496">
            <w:pPr>
              <w:rPr>
                <w:rFonts w:cs="Calibri"/>
                <w:color w:val="000000"/>
                <w:sz w:val="18"/>
                <w:szCs w:val="18"/>
              </w:rPr>
            </w:pPr>
          </w:p>
        </w:tc>
      </w:tr>
      <w:tr w:rsidR="00D001FF" w:rsidRPr="00A32C99" w14:paraId="7E656F04" w14:textId="77777777" w:rsidTr="00545496">
        <w:trPr>
          <w:trHeight w:val="405"/>
          <w:tblCellSpacing w:w="0" w:type="dxa"/>
        </w:trPr>
        <w:tc>
          <w:tcPr>
            <w:tcW w:w="17445" w:type="dxa"/>
            <w:shd w:val="clear" w:color="auto" w:fill="EAF2F7"/>
            <w:vAlign w:val="center"/>
            <w:hideMark/>
          </w:tcPr>
          <w:p w14:paraId="22D3B4F7" w14:textId="77777777" w:rsidR="00D001FF" w:rsidRPr="006266D6" w:rsidRDefault="00D001FF" w:rsidP="00545496">
            <w:pPr>
              <w:rPr>
                <w:rFonts w:cs="Arial"/>
                <w:color w:val="000000"/>
                <w:sz w:val="18"/>
                <w:szCs w:val="18"/>
              </w:rPr>
            </w:pPr>
            <w:r w:rsidRPr="003332F7">
              <w:rPr>
                <w:rFonts w:cs="Calibri"/>
                <w:b/>
                <w:bCs/>
                <w:color w:val="000000"/>
                <w:sz w:val="18"/>
                <w:szCs w:val="18"/>
              </w:rPr>
              <w:t>Conditii participare: </w:t>
            </w:r>
            <w:r w:rsidRPr="003332F7">
              <w:rPr>
                <w:rFonts w:cs="Calibri"/>
                <w:color w:val="000000"/>
                <w:sz w:val="18"/>
                <w:szCs w:val="18"/>
              </w:rPr>
              <w:t xml:space="preserve">Se va completa si </w:t>
            </w:r>
            <w:r w:rsidRPr="006266D6">
              <w:rPr>
                <w:rFonts w:cs="Arial"/>
                <w:color w:val="000000"/>
                <w:sz w:val="18"/>
                <w:szCs w:val="18"/>
              </w:rPr>
              <w:t xml:space="preserve">depune formularul privind evitarea conflictului de interese cu persoanele din cadrul autoritatii contractante care detin functii de decizie in derularea procedurii,si care ar putea influenta atribuirea contractului. Persoanele ce detin functii de decizie în cadrul autoritatii în ceea ce priveste organizarea, derularea si finalizarea procedurii de atribuirii în sensul art. 59 si 60 din Legea nr. 98/2016 sunt urmatoarele: </w:t>
            </w:r>
          </w:p>
          <w:p w14:paraId="4F6D1AC7" w14:textId="7E59B6BA" w:rsidR="00D001FF" w:rsidRPr="006266D6" w:rsidRDefault="006A3552" w:rsidP="00545496">
            <w:pPr>
              <w:jc w:val="both"/>
              <w:rPr>
                <w:rFonts w:cs="Arial"/>
                <w:sz w:val="18"/>
                <w:szCs w:val="18"/>
              </w:rPr>
            </w:pPr>
            <w:r w:rsidRPr="006A3552">
              <w:rPr>
                <w:rFonts w:cs="Arial"/>
                <w:sz w:val="18"/>
                <w:szCs w:val="18"/>
                <w:lang w:val="en-US"/>
              </w:rPr>
              <w:t>Moldovan Ioan Cristian - primar; Kis Istvan - viceprimar; Giurgea Eugenia, secretar U.A.T; Precup Mihai Paul - consilier juridic; Dudilă Marius, administrator public; Suciu Maria - șef birou B.F.C.R.U.; Vălean Titus-Răzvan – Arhitect șef; Năsăudean Ionela Anca - șef serviciu Investitii, Achizitii Publice; Cauaci Radu Gheorghe - Inspector – Investiții, Achizitii Publice; Grama Florina Emilia - Inspector – Investitii, Achizitii Publice; Banea Ioan Adrian - consilier local; Botezan Claudia Maria - consilier local; Ciuca Claudiu Corneliu - consilier local; Covaci Laurean - consilier local; Deteșan Adrian - consilier local; Enyedi Mihai - consilier local; Hățăgan Olimpiu Sorin - consilier local; Orban Karol Tiberiu - consilier local; Petac Carmen - consilier local; Puia Gelu-Virgil - consilier local; Rad Ioan - consilier local; Szekely Zoltan Levente – consilier local; Șopterean Ioan – consilier local; Totu Daniel Septimiu Iulian - consilier local;</w:t>
            </w:r>
            <w:r w:rsidR="00D001FF" w:rsidRPr="006A3552">
              <w:rPr>
                <w:rFonts w:cs="Arial"/>
                <w:sz w:val="18"/>
                <w:szCs w:val="18"/>
              </w:rPr>
              <w:t xml:space="preserve"> </w:t>
            </w:r>
            <w:r w:rsidR="00D001FF" w:rsidRPr="006A3552">
              <w:rPr>
                <w:rFonts w:cs="Arial"/>
                <w:color w:val="000000"/>
                <w:sz w:val="18"/>
                <w:szCs w:val="18"/>
              </w:rPr>
              <w:t>Radu Badea-expert tehnic cooptat</w:t>
            </w:r>
            <w:r w:rsidR="00D001FF" w:rsidRPr="006A3552">
              <w:rPr>
                <w:rFonts w:cs="Arial"/>
                <w:sz w:val="18"/>
                <w:szCs w:val="18"/>
              </w:rPr>
              <w:t>.</w:t>
            </w:r>
          </w:p>
          <w:p w14:paraId="27A914EB" w14:textId="77777777" w:rsidR="00D001FF" w:rsidRPr="003332F7" w:rsidRDefault="00D001FF" w:rsidP="00545496">
            <w:pPr>
              <w:rPr>
                <w:rFonts w:cs="Calibri"/>
                <w:color w:val="000000"/>
                <w:sz w:val="18"/>
                <w:szCs w:val="18"/>
              </w:rPr>
            </w:pPr>
            <w:r w:rsidRPr="006266D6">
              <w:rPr>
                <w:rFonts w:cs="Arial"/>
                <w:color w:val="000000"/>
                <w:sz w:val="18"/>
                <w:szCs w:val="18"/>
              </w:rPr>
              <w:t>Declaratie pe propria raspundere din care sa rezulte ca ofertantul nu se afla in situatiile prevazute la art. 164, art. 165 si art. 167 din Legea nr. 98/2016. Se va depune copie Autorizatie de functionare emisa de catre Banca</w:t>
            </w:r>
            <w:r w:rsidRPr="003332F7">
              <w:rPr>
                <w:rFonts w:cs="Calibri"/>
                <w:color w:val="000000"/>
                <w:sz w:val="18"/>
                <w:szCs w:val="18"/>
              </w:rPr>
              <w:t xml:space="preserve"> Nationala a Romaniei/ autorizatia acordata de autoritatea competenta din statul membru de origine. </w:t>
            </w:r>
          </w:p>
          <w:p w14:paraId="1C943FEF" w14:textId="77777777" w:rsidR="00D001FF" w:rsidRPr="003332F7" w:rsidRDefault="00D001FF" w:rsidP="00545496">
            <w:pPr>
              <w:rPr>
                <w:rFonts w:cs="Calibri"/>
                <w:color w:val="000000"/>
                <w:sz w:val="18"/>
                <w:szCs w:val="18"/>
              </w:rPr>
            </w:pPr>
            <w:r w:rsidRPr="003332F7">
              <w:rPr>
                <w:rFonts w:cs="Calibri"/>
                <w:color w:val="000000"/>
                <w:sz w:val="18"/>
                <w:szCs w:val="18"/>
              </w:rPr>
              <w:t xml:space="preserve">Pentru persoanele juridice romane documentele solicitate se prezinta in copie conforma cu originalul iar pentru persoanele juridice straine documentele se prezinta in original sau copie conforma cu originalul si vor fi insotite de traducere autorizata si legalizata. </w:t>
            </w:r>
          </w:p>
        </w:tc>
      </w:tr>
      <w:tr w:rsidR="00D001FF" w:rsidRPr="00A32C99" w14:paraId="1B0A8CDD" w14:textId="77777777" w:rsidTr="00545496">
        <w:trPr>
          <w:trHeight w:val="405"/>
          <w:tblCellSpacing w:w="0" w:type="dxa"/>
        </w:trPr>
        <w:tc>
          <w:tcPr>
            <w:tcW w:w="17445" w:type="dxa"/>
            <w:shd w:val="clear" w:color="auto" w:fill="EAF2F7"/>
            <w:vAlign w:val="center"/>
            <w:hideMark/>
          </w:tcPr>
          <w:p w14:paraId="1460D954" w14:textId="77777777" w:rsidR="00D001FF" w:rsidRPr="004F744B" w:rsidRDefault="00D001FF" w:rsidP="00545496">
            <w:pPr>
              <w:rPr>
                <w:rFonts w:cs="Arial"/>
                <w:color w:val="000000"/>
                <w:sz w:val="18"/>
                <w:szCs w:val="18"/>
              </w:rPr>
            </w:pPr>
            <w:r w:rsidRPr="004F744B">
              <w:rPr>
                <w:rFonts w:cs="Arial"/>
                <w:b/>
                <w:bCs/>
                <w:color w:val="000000"/>
                <w:sz w:val="18"/>
                <w:szCs w:val="18"/>
              </w:rPr>
              <w:t>Criterii adjudecare: </w:t>
            </w:r>
            <w:r w:rsidRPr="004F744B">
              <w:rPr>
                <w:rFonts w:cs="Arial"/>
                <w:color w:val="000000"/>
                <w:sz w:val="18"/>
                <w:szCs w:val="18"/>
              </w:rPr>
              <w:t>Licitatie publica desfasurata intr-o singura etapa in care ofertantii vor depune documentele de participare si calificare, respectiv oferta financiara.</w:t>
            </w:r>
          </w:p>
          <w:p w14:paraId="627E1C24" w14:textId="77777777" w:rsidR="00D001FF" w:rsidRPr="004F744B" w:rsidRDefault="00D001FF" w:rsidP="00545496">
            <w:pPr>
              <w:rPr>
                <w:rFonts w:cs="Arial"/>
                <w:b/>
                <w:bCs/>
                <w:color w:val="000000"/>
                <w:sz w:val="18"/>
                <w:szCs w:val="18"/>
              </w:rPr>
            </w:pPr>
            <w:r w:rsidRPr="004F744B">
              <w:rPr>
                <w:rFonts w:cs="Arial"/>
                <w:color w:val="000000"/>
                <w:sz w:val="18"/>
                <w:szCs w:val="18"/>
              </w:rPr>
              <w:t>Criteriul de adjudecare/atribuire: “cel mai bun punctaj”</w:t>
            </w:r>
          </w:p>
        </w:tc>
      </w:tr>
      <w:tr w:rsidR="00D001FF" w:rsidRPr="00A32C99" w14:paraId="40E05EDB" w14:textId="77777777" w:rsidTr="00545496">
        <w:trPr>
          <w:trHeight w:val="405"/>
          <w:tblCellSpacing w:w="0" w:type="dxa"/>
        </w:trPr>
        <w:tc>
          <w:tcPr>
            <w:tcW w:w="17445" w:type="dxa"/>
            <w:shd w:val="clear" w:color="auto" w:fill="EAF2F7"/>
            <w:vAlign w:val="center"/>
            <w:hideMark/>
          </w:tcPr>
          <w:p w14:paraId="7ECAB074" w14:textId="77777777" w:rsidR="00D001FF" w:rsidRPr="004F744B" w:rsidRDefault="004F744B" w:rsidP="00D001FF">
            <w:pPr>
              <w:rPr>
                <w:rFonts w:cs="Arial"/>
                <w:b/>
                <w:bCs/>
                <w:color w:val="000000"/>
                <w:sz w:val="18"/>
                <w:szCs w:val="18"/>
              </w:rPr>
            </w:pPr>
            <w:r w:rsidRPr="004F744B">
              <w:rPr>
                <w:rFonts w:cs="Arial"/>
                <w:b/>
                <w:bCs/>
                <w:color w:val="000000"/>
                <w:sz w:val="18"/>
                <w:szCs w:val="18"/>
              </w:rPr>
              <w:t>Termen limita primire oferte: 28</w:t>
            </w:r>
            <w:r w:rsidR="00D001FF" w:rsidRPr="004F744B">
              <w:rPr>
                <w:rFonts w:cs="Arial"/>
                <w:b/>
                <w:bCs/>
                <w:color w:val="000000"/>
                <w:sz w:val="18"/>
                <w:szCs w:val="18"/>
              </w:rPr>
              <w:t>.08.2020, ora 10.00</w:t>
            </w:r>
          </w:p>
        </w:tc>
      </w:tr>
      <w:tr w:rsidR="00D001FF" w:rsidRPr="00566A7E" w14:paraId="7A5CFF72" w14:textId="77777777" w:rsidTr="00545496">
        <w:trPr>
          <w:trHeight w:val="405"/>
          <w:tblCellSpacing w:w="0" w:type="dxa"/>
        </w:trPr>
        <w:tc>
          <w:tcPr>
            <w:tcW w:w="17445" w:type="dxa"/>
            <w:shd w:val="clear" w:color="auto" w:fill="EAF2F7"/>
            <w:vAlign w:val="center"/>
            <w:hideMark/>
          </w:tcPr>
          <w:p w14:paraId="7AA3D631" w14:textId="0306BB72" w:rsidR="00D001FF" w:rsidRPr="004F744B" w:rsidRDefault="00D001FF" w:rsidP="004F744B">
            <w:pPr>
              <w:rPr>
                <w:rFonts w:cs="Arial"/>
                <w:sz w:val="18"/>
                <w:szCs w:val="18"/>
              </w:rPr>
            </w:pPr>
            <w:r w:rsidRPr="004F744B">
              <w:rPr>
                <w:rFonts w:cs="Arial"/>
                <w:b/>
                <w:bCs/>
                <w:color w:val="000000"/>
                <w:sz w:val="18"/>
                <w:szCs w:val="18"/>
              </w:rPr>
              <w:t>Informatii suplimentare: </w:t>
            </w:r>
            <w:r w:rsidRPr="004F744B">
              <w:rPr>
                <w:rFonts w:cs="Arial"/>
                <w:color w:val="000000"/>
                <w:sz w:val="18"/>
                <w:szCs w:val="18"/>
              </w:rPr>
              <w:t xml:space="preserve">Limba in care poate fi redactata oferta / cererea de participare: limba romana. Pentru a obtine documentatia descriptiva ofertantii pot accesa link-ul </w:t>
            </w:r>
            <w:hyperlink r:id="rId4" w:history="1">
              <w:r w:rsidRPr="004F744B">
                <w:rPr>
                  <w:rStyle w:val="Hyperlink"/>
                  <w:rFonts w:cs="Arial"/>
                  <w:sz w:val="18"/>
                  <w:szCs w:val="18"/>
                </w:rPr>
                <w:t>www.ludus.ro</w:t>
              </w:r>
            </w:hyperlink>
            <w:r w:rsidRPr="004F744B">
              <w:rPr>
                <w:rFonts w:cs="Arial"/>
                <w:color w:val="000000"/>
                <w:sz w:val="18"/>
                <w:szCs w:val="18"/>
              </w:rPr>
              <w:t xml:space="preserve">, sectiunea </w:t>
            </w:r>
            <w:hyperlink r:id="rId5" w:history="1">
              <w:r w:rsidR="004F744B" w:rsidRPr="004F744B">
                <w:rPr>
                  <w:rStyle w:val="Hyperlink"/>
                  <w:rFonts w:cs="Arial"/>
                  <w:sz w:val="18"/>
                  <w:szCs w:val="18"/>
                </w:rPr>
                <w:t>http://www.ludus.ro/portal/mures/ludus/portal.nsf/AllByUNID/222B04E4BA82D909C22585B30024B99C?OpenDocument</w:t>
              </w:r>
            </w:hyperlink>
            <w:hyperlink r:id="rId6" w:history="1"/>
            <w:r w:rsidRPr="004F744B">
              <w:rPr>
                <w:rFonts w:cs="Arial"/>
                <w:color w:val="000000"/>
                <w:sz w:val="18"/>
                <w:szCs w:val="18"/>
              </w:rPr>
              <w:t>; cei interesati pot trimite deasemenea solicitare scrisa pe adresa autoritatii contractante a Orasului Ludus:</w:t>
            </w:r>
            <w:r w:rsidRPr="004F744B">
              <w:rPr>
                <w:rFonts w:cs="Arial"/>
                <w:sz w:val="18"/>
                <w:szCs w:val="18"/>
              </w:rPr>
              <w:t xml:space="preserve"> </w:t>
            </w:r>
            <w:r w:rsidR="004F744B">
              <w:rPr>
                <w:rFonts w:cs="Arial"/>
                <w:sz w:val="18"/>
                <w:szCs w:val="18"/>
              </w:rPr>
              <w:t>ludus@cjmures.ro</w:t>
            </w:r>
            <w:r w:rsidRPr="004F744B">
              <w:rPr>
                <w:rFonts w:cs="Arial"/>
                <w:sz w:val="18"/>
                <w:szCs w:val="18"/>
              </w:rPr>
              <w:t>, tel:</w:t>
            </w:r>
            <w:r w:rsidRPr="004F744B">
              <w:rPr>
                <w:rFonts w:cs="Arial"/>
                <w:color w:val="000000"/>
                <w:sz w:val="18"/>
                <w:szCs w:val="18"/>
              </w:rPr>
              <w:t xml:space="preserve"> </w:t>
            </w:r>
            <w:r w:rsidR="006A3552">
              <w:rPr>
                <w:rFonts w:cs="Arial"/>
                <w:color w:val="000000"/>
                <w:sz w:val="18"/>
                <w:szCs w:val="18"/>
              </w:rPr>
              <w:t xml:space="preserve">0265.411.716. </w:t>
            </w:r>
            <w:r w:rsidRPr="004F744B">
              <w:rPr>
                <w:rFonts w:cs="Arial"/>
                <w:color w:val="000000"/>
                <w:sz w:val="18"/>
                <w:szCs w:val="18"/>
              </w:rPr>
              <w:t xml:space="preserve">Termenul limita pentru solicitarea de clarificari este data de: </w:t>
            </w:r>
            <w:r w:rsidR="004F744B">
              <w:rPr>
                <w:rFonts w:cs="Arial"/>
                <w:color w:val="000000"/>
                <w:sz w:val="18"/>
                <w:szCs w:val="18"/>
              </w:rPr>
              <w:t>25</w:t>
            </w:r>
            <w:r w:rsidRPr="004F744B">
              <w:rPr>
                <w:rFonts w:cs="Arial"/>
                <w:color w:val="000000"/>
                <w:sz w:val="18"/>
                <w:szCs w:val="18"/>
              </w:rPr>
              <w:t>.08.2020, ora 14.00</w:t>
            </w:r>
          </w:p>
        </w:tc>
      </w:tr>
    </w:tbl>
    <w:p w14:paraId="5CC0BD1C" w14:textId="77777777" w:rsidR="007D20AE" w:rsidRDefault="007D20AE"/>
    <w:sectPr w:rsidR="007D2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FF7"/>
    <w:rsid w:val="004F1FF7"/>
    <w:rsid w:val="004F744B"/>
    <w:rsid w:val="006A3552"/>
    <w:rsid w:val="007D20AE"/>
    <w:rsid w:val="00D0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D83E"/>
  <w15:docId w15:val="{1AF9717F-8920-4325-9840-41343850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FF"/>
    <w:pPr>
      <w:spacing w:after="0" w:line="240" w:lineRule="auto"/>
    </w:pPr>
    <w:rPr>
      <w:rFonts w:ascii="Arial" w:eastAsia="Times New Roman" w:hAnsi="Arial"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01FF"/>
    <w:rPr>
      <w:color w:val="0000FF"/>
      <w:u w:val="single"/>
    </w:rPr>
  </w:style>
  <w:style w:type="paragraph" w:styleId="PlainText">
    <w:name w:val="Plain Text"/>
    <w:basedOn w:val="Normal"/>
    <w:link w:val="PlainTextChar"/>
    <w:uiPriority w:val="99"/>
    <w:unhideWhenUsed/>
    <w:rsid w:val="00D001FF"/>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rsid w:val="00D001FF"/>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6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tor5.ro/anunturi/procedura-de-achizitie-privind-contractarea-unei-finantari-in-suma-totala-de-171-mil-ron/" TargetMode="External"/><Relationship Id="rId5" Type="http://schemas.openxmlformats.org/officeDocument/2006/relationships/hyperlink" Target="http://www.ludus.ro/portal/mures/ludus/portal.nsf/AllByUNID/222B04E4BA82D909C22585B30024B99C?OpenDocument" TargetMode="External"/><Relationship Id="rId4" Type="http://schemas.openxmlformats.org/officeDocument/2006/relationships/hyperlink" Target="http://www.lud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Investiti-SSD</cp:lastModifiedBy>
  <cp:revision>5</cp:revision>
  <dcterms:created xsi:type="dcterms:W3CDTF">2020-07-27T05:16:00Z</dcterms:created>
  <dcterms:modified xsi:type="dcterms:W3CDTF">2020-08-12T06:46:00Z</dcterms:modified>
</cp:coreProperties>
</file>